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A3380" w14:textId="77777777" w:rsidR="0077616D" w:rsidRPr="00B5044B" w:rsidRDefault="0077616D" w:rsidP="0077616D">
      <w:pPr>
        <w:pStyle w:val="Nagwek5"/>
        <w:tabs>
          <w:tab w:val="clear" w:pos="900"/>
        </w:tabs>
        <w:spacing w:before="0" w:after="0"/>
        <w:ind w:left="0" w:firstLine="0"/>
        <w:jc w:val="right"/>
        <w:rPr>
          <w:bCs w:val="0"/>
          <w:i w:val="0"/>
          <w:sz w:val="24"/>
          <w:szCs w:val="24"/>
        </w:rPr>
      </w:pPr>
      <w:r w:rsidRPr="00B5044B">
        <w:rPr>
          <w:bCs w:val="0"/>
          <w:i w:val="0"/>
          <w:sz w:val="24"/>
          <w:szCs w:val="24"/>
        </w:rPr>
        <w:t>Załącznik nr 1</w:t>
      </w:r>
    </w:p>
    <w:p w14:paraId="4B0533E7" w14:textId="77777777" w:rsidR="00784F73" w:rsidRPr="00784F73" w:rsidRDefault="00784F73" w:rsidP="00784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784F73">
        <w:rPr>
          <w:rFonts w:ascii="Times New Roman" w:hAnsi="Times New Roman"/>
          <w:bCs/>
          <w:i/>
          <w:color w:val="000000"/>
          <w:sz w:val="20"/>
          <w:szCs w:val="20"/>
        </w:rPr>
        <w:t xml:space="preserve">Treść </w:t>
      </w:r>
      <w:r w:rsidRPr="00784F73">
        <w:rPr>
          <w:rFonts w:ascii="Times New Roman" w:hAnsi="Times New Roman"/>
          <w:i/>
          <w:color w:val="000000"/>
          <w:sz w:val="20"/>
          <w:szCs w:val="20"/>
        </w:rPr>
        <w:t xml:space="preserve">Rozdziału </w:t>
      </w:r>
      <w:r w:rsidRPr="00784F73">
        <w:rPr>
          <w:rFonts w:ascii="Times New Roman" w:eastAsia="Times New Roman" w:hAnsi="Times New Roman"/>
          <w:i/>
          <w:color w:val="1E1E1E"/>
          <w:sz w:val="20"/>
          <w:szCs w:val="20"/>
          <w:lang w:eastAsia="pl-PL"/>
        </w:rPr>
        <w:t>XI „</w:t>
      </w:r>
      <w:r w:rsidRPr="00784F73">
        <w:rPr>
          <w:rFonts w:ascii="Times New Roman" w:hAnsi="Times New Roman"/>
          <w:i/>
          <w:color w:val="000000"/>
          <w:sz w:val="20"/>
          <w:szCs w:val="20"/>
        </w:rPr>
        <w:t>Tryb powoływania i zasady działania komisji konkursowych do opiniowania ofert w otwartych konkursach ofert” Programu współpracy Gminy Miasta Toruń z organizacjami pozarządowymi w 2024 roku stanowiącego załącznik do uchwały nr 1212/23 Rady Miasta Torunia z dnia 23 listopada 2023 r. (wyciąg z uchwały).</w:t>
      </w:r>
    </w:p>
    <w:p w14:paraId="21A4F073" w14:textId="77777777" w:rsidR="00784F73" w:rsidRPr="00784F73" w:rsidRDefault="00784F73" w:rsidP="00784F73">
      <w:pPr>
        <w:tabs>
          <w:tab w:val="left" w:pos="708"/>
          <w:tab w:val="num" w:pos="900"/>
        </w:tabs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i/>
          <w:iCs/>
          <w:sz w:val="24"/>
          <w:szCs w:val="24"/>
          <w:lang w:eastAsia="zh-CN"/>
        </w:rPr>
      </w:pPr>
      <w:r w:rsidRPr="00784F73">
        <w:rPr>
          <w:rFonts w:ascii="Times New Roman" w:eastAsia="Times New Roman" w:hAnsi="Times New Roman"/>
          <w:b/>
          <w:iCs/>
          <w:sz w:val="24"/>
          <w:szCs w:val="24"/>
          <w:lang w:eastAsia="zh-CN"/>
        </w:rPr>
        <w:t>Rozdział XI</w:t>
      </w:r>
    </w:p>
    <w:p w14:paraId="4FA922D9" w14:textId="767C7BBE" w:rsidR="00784F73" w:rsidRPr="00784F73" w:rsidRDefault="00784F73" w:rsidP="00784F73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784F73">
        <w:rPr>
          <w:rFonts w:ascii="Times New Roman" w:hAnsi="Times New Roman"/>
          <w:b/>
        </w:rPr>
        <w:t>Tryb powoływania i zasady działania komisji konkursowych</w:t>
      </w:r>
    </w:p>
    <w:p w14:paraId="26AACC14" w14:textId="77777777" w:rsidR="00784F73" w:rsidRPr="00784F73" w:rsidRDefault="00784F73" w:rsidP="00784F73">
      <w:pPr>
        <w:pStyle w:val="Bezodstpw"/>
        <w:jc w:val="center"/>
        <w:rPr>
          <w:rFonts w:ascii="Times New Roman" w:hAnsi="Times New Roman"/>
          <w:b/>
        </w:rPr>
      </w:pPr>
      <w:r w:rsidRPr="00784F73">
        <w:rPr>
          <w:rFonts w:ascii="Times New Roman" w:hAnsi="Times New Roman"/>
          <w:b/>
        </w:rPr>
        <w:t>do opiniowania ofert w otwartych konkursach ofert</w:t>
      </w:r>
    </w:p>
    <w:p w14:paraId="0163EEAA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§ 16. 1. Ustala się następujący tryb powoływania i zasady działania komisji konkursowych do opiniowania ofert w otwartych konkursach ofert z zastrzeżeniem ust. 2:</w:t>
      </w:r>
    </w:p>
    <w:p w14:paraId="71C7A99A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1) komisje konkursowe powołuje prezydent;</w:t>
      </w:r>
    </w:p>
    <w:p w14:paraId="13C25B7B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2) poszczególne komisje konkursowe mogą przeprowadzać postępowanie konkursowe w zakresie kilku zadań wymienionych w § 8 ust. 1, 2 i 3;</w:t>
      </w:r>
    </w:p>
    <w:p w14:paraId="223C374E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3) komisje konkursowe liczą od 4 do 8 osób;</w:t>
      </w:r>
    </w:p>
    <w:p w14:paraId="7B2278F5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4) w skład komisji konkursowych wchodzą przedstawiciele prezydenta oraz osoby wskazane przez organizacje pozarządowe, z zastrzeżeniem, że w skład komisji konkursowej biorącej udział w wyłonieniu organizacji pozarządowej na prowadzenie punktów przeznaczonych na udzielanie nieodpłatnej pomocy prawnej lub świadczenie nieodpłatnego poradnictwa obywatelskiego może wchodzić przedstawiciel wojewody;</w:t>
      </w:r>
    </w:p>
    <w:p w14:paraId="74875619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5) nabór przedstawicieli organizacji pozarządowych do udziału w komisji prezydent ogłasza w Biuletynie Informacji Publicznej oraz miejskim serwisie internetowym dla organizacji pozarządowych, przy czym okres zgłaszania się kandydatów wynosi co najmniej 14 dni;</w:t>
      </w:r>
    </w:p>
    <w:p w14:paraId="06FEEA1B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6) szczegółowe warunki udziału w naborze ustala prezydent w ogłoszeniu, o którym mowa w pkt 5;</w:t>
      </w:r>
    </w:p>
    <w:p w14:paraId="7C67CC5F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7) dopuszcza się zwoływanie i prowadzenie prac przez komisje konkursowe w formie zdalnej;</w:t>
      </w:r>
    </w:p>
    <w:p w14:paraId="35184C0D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8) w przypadku niezgłoszenia się wystarczającej liczby przedstawicieli organizacji pozarządowych RDPP, w drodze stanowiska, typuje do pracy w komisji swojego przedstawiciela, wywodzącego się z organizacji pozarządowych;</w:t>
      </w:r>
    </w:p>
    <w:p w14:paraId="002A6C2A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9) do komisji konkursowej nie będzie powołana osoba, która została prawomocnie skazana za przestępstwo popełnione w związku z postępowaniem o udzielenie zamówienia publicznego, przestępstwo przeciwko obrotowi gospodarczemu lub inne przestępstwo popełnione w celu osiągnięcia korzyści majątkowych,</w:t>
      </w:r>
    </w:p>
    <w:p w14:paraId="768427C6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10) oświadczenie w sprawie, o której mowa w pkt 9 kandydat składa prezydentowi przed powołaniem komisji konkursowej (wzór oświadczenia określony przez prezydenta stanowić będzie załącznik do ogłoszenia, o którym mowa w pkt. 5);</w:t>
      </w:r>
    </w:p>
    <w:p w14:paraId="46F6D0B1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11) na pierwszym posiedzeniu członkowie komisji konkursowej, po zapoznaniu się z ofertami, składają oświadczenia o bezstronności i poufności zgodnie z wzorem określonym przez prezydenta;</w:t>
      </w:r>
    </w:p>
    <w:p w14:paraId="05B0DE9C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12) członek komisji konkursowej, który nie spełnia warunków określonych w oświadczeniu o bezstronności i poufności lub go nie złożył, zostaje wykluczony z jej składu;</w:t>
      </w:r>
    </w:p>
    <w:p w14:paraId="018AE2BA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13) w przypadku, o którym mowa w pkt. 12 skład komisji konkursowej zostaje uzupełniony o innego reprezentanta środowiska pozarządowego, zgłoszonego w wyniku naboru, o którym mowa w pkt. 5; w przypadku niezgłoszenia się przedstawiciela organizacji pozarządowych do składu komisji konkursowej RDPP, w drodze stanowiska, typuje do pracy w komisji swojego przedstawiciela, wywodzącego się ze środowiska pozarządowego;</w:t>
      </w:r>
    </w:p>
    <w:p w14:paraId="4828BCEE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14) komisje konkursowe dokonują oceny ofert złożonych w wyniku ogłoszonego konkursu;</w:t>
      </w:r>
    </w:p>
    <w:p w14:paraId="5DE4DB9D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lastRenderedPageBreak/>
        <w:t>15) prace komisji konkursowych odbywają się na posiedzeniach zamkniętych, w których uczestniczy co najmniej 50% członków, w tym przewodniczący oraz przedstawiciel organizacji pozarządowych, z uwzględnieniem zapisów art. 15 ust. 2da ustawy;</w:t>
      </w:r>
    </w:p>
    <w:p w14:paraId="2FCA0395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16) przedmiotem pracy komisji konkursowej jest:</w:t>
      </w:r>
    </w:p>
    <w:p w14:paraId="73F83408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a) ocena ofert pod względem formalnym,</w:t>
      </w:r>
    </w:p>
    <w:p w14:paraId="13F10CFF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b) ocena ofert pod względem merytorycznym,</w:t>
      </w:r>
    </w:p>
    <w:p w14:paraId="218C504E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c) sporządzenie wykazu wszystkich ofert wraz z oceną i jej uzasadnieniem oraz propozycją wysokości dotacji w celu przedłożenia prezydentowi;</w:t>
      </w:r>
    </w:p>
    <w:p w14:paraId="1EF1869F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17) ocena formalna polega na sprawdzeniu zgodności oferty z wymogami określonymi w ogłoszeniu konkursowym;</w:t>
      </w:r>
    </w:p>
    <w:p w14:paraId="32C643C6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18) w przypadku stwierdzenia przez komisję konkursową błędów formalnych, informuje się oferentów o możliwości ich uzupełnienia i poprawienia w terminie 5 dni roboczych od daty powiadomienia wysłanego w formie pisemnej (pocztą tradycyjną, elektroniczną) lub telefonicznego;</w:t>
      </w:r>
    </w:p>
    <w:p w14:paraId="7B22DDBD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19) do oceny merytorycznej dopuszcza się wyłącznie oferty spełniające wymogi formalne;</w:t>
      </w:r>
    </w:p>
    <w:p w14:paraId="03A1A190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20) przy ocenie ofert komisje konkursowe biorą pod uwagę kryteria określone w szczegółowych ogłoszeniach konkursowych;</w:t>
      </w:r>
    </w:p>
    <w:p w14:paraId="6ABFB533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21) komisje konkursowe dokonują oceny punktowej ofert we wskazanej skali punktów przyznawanych w poszczególnych kryteriach określonych w szczegółowych ogłoszeniach konkursowych;</w:t>
      </w:r>
    </w:p>
    <w:p w14:paraId="579765F4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22) ocena dokonywana jest na podstawie kart oceny (wzór karty oceny określony przez prezydenta stanowić będzie załącznik do regulaminu otwartego konkursu ofert);</w:t>
      </w:r>
    </w:p>
    <w:p w14:paraId="662F2837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23) ostatecznej oceny ofert komisja konkursowa dokonuje na podstawie wyliczenia średniej arytmetycznej z sumy punktów przyznanych przez poszczególnych jej członków;</w:t>
      </w:r>
    </w:p>
    <w:p w14:paraId="3A26B95F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24) w przypadku ofert, które nie uzyskają maksymalnej liczby punktów komisja konkursowa wskazuje przyczyny obniżenia oceny punktowej;</w:t>
      </w:r>
    </w:p>
    <w:p w14:paraId="7AA240DC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25) z prac komisji konkursowej sporządzany jest protokół, który podpisują wszyscy członkowie dokonujący oceny; dokumentację konkursową przechowuje się w jednostkach organizacyjnych urzędu i gminy odpowiedzialnych za realizację określonych zadań gminy i zapewniających obsługę kancelaryjną komisji konkursowej;</w:t>
      </w:r>
    </w:p>
    <w:p w14:paraId="3D9F1F79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26) prezydent podejmuje ostateczną decyzję w sprawie wyboru ofert i wysokości dotacji w oparciu o rekomendowane przez komisje konkursowe oceny i propozycje kwot dotacji;</w:t>
      </w:r>
    </w:p>
    <w:p w14:paraId="0BAEE7B7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27) wyniki konkursu publikowane są na tablicy ogłoszeń urzędu, w Biuletynie Informacji Publicznej www.bip.torun.pl oraz w miejskim serwisie informacyjnym dla organizacji pozarządowych; zakres publikowanych informacji określa prezydent w ogłoszeniu konkursowym.</w:t>
      </w:r>
    </w:p>
    <w:p w14:paraId="4FFC154C" w14:textId="77777777" w:rsidR="00784F73" w:rsidRPr="00784F73" w:rsidRDefault="00784F73" w:rsidP="00784F73">
      <w:pPr>
        <w:tabs>
          <w:tab w:val="left" w:pos="360"/>
        </w:tabs>
        <w:jc w:val="both"/>
        <w:rPr>
          <w:rFonts w:ascii="Times New Roman" w:hAnsi="Times New Roman"/>
        </w:rPr>
      </w:pPr>
      <w:r w:rsidRPr="00784F73">
        <w:rPr>
          <w:rFonts w:ascii="Times New Roman" w:hAnsi="Times New Roman"/>
        </w:rPr>
        <w:t>2. Tryb powoływania i zasady działania komisji konkursowych do opiniowania ofert w otwartych konkursach ofert na wykonanie zadań publicznych gminy w zakresie rozwoju sportu reguluje uchwała nr 936/10 Rady Miasta Torunia z dnia 4 listopada 2010 r. w sprawie określenia warunków i trybu finansowania rozwoju sportu przez Gminę Miasta Toruń, zmienionej uchwałą nr 298/16 Rady Miasta Torunia z dnia 12 maja 2016 r. (Dz. Urz. Woj. Kuj.-Pom. z 2017 r., poz. 1354).</w:t>
      </w:r>
    </w:p>
    <w:p w14:paraId="1276EC9F" w14:textId="2078844F" w:rsidR="00784F73" w:rsidRPr="00784F73" w:rsidRDefault="00784F73" w:rsidP="00784F73">
      <w:pPr>
        <w:tabs>
          <w:tab w:val="left" w:pos="360"/>
        </w:tabs>
        <w:jc w:val="both"/>
      </w:pPr>
      <w:r w:rsidRPr="00784F73">
        <w:rPr>
          <w:rFonts w:ascii="Times New Roman" w:hAnsi="Times New Roman"/>
        </w:rPr>
        <w:t>/-/</w:t>
      </w:r>
    </w:p>
    <w:p w14:paraId="7D76B806" w14:textId="77777777" w:rsidR="0077616D" w:rsidRPr="00B5044B" w:rsidRDefault="0077616D" w:rsidP="0077616D">
      <w:pPr>
        <w:pStyle w:val="Default"/>
        <w:jc w:val="both"/>
        <w:rPr>
          <w:bCs/>
          <w:i/>
        </w:rPr>
      </w:pPr>
      <w:bookmarkStart w:id="0" w:name="_GoBack"/>
      <w:bookmarkEnd w:id="0"/>
    </w:p>
    <w:sectPr w:rsidR="0077616D" w:rsidRPr="00B5044B" w:rsidSect="00784F73">
      <w:pgSz w:w="11905" w:h="16837"/>
      <w:pgMar w:top="1417" w:right="1417" w:bottom="1135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A41F5A" w14:textId="77777777" w:rsidR="00BB6529" w:rsidRDefault="00BB6529">
      <w:pPr>
        <w:spacing w:after="0" w:line="240" w:lineRule="auto"/>
      </w:pPr>
      <w:r>
        <w:separator/>
      </w:r>
    </w:p>
  </w:endnote>
  <w:endnote w:type="continuationSeparator" w:id="0">
    <w:p w14:paraId="2205932C" w14:textId="77777777" w:rsidR="00BB6529" w:rsidRDefault="00BB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B154E" w14:textId="77777777" w:rsidR="00BB6529" w:rsidRDefault="00BB6529">
      <w:pPr>
        <w:spacing w:after="0" w:line="240" w:lineRule="auto"/>
      </w:pPr>
      <w:r>
        <w:separator/>
      </w:r>
    </w:p>
  </w:footnote>
  <w:footnote w:type="continuationSeparator" w:id="0">
    <w:p w14:paraId="3F5E6B15" w14:textId="77777777" w:rsidR="00BB6529" w:rsidRDefault="00BB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D3E4665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76E04"/>
    <w:multiLevelType w:val="hybridMultilevel"/>
    <w:tmpl w:val="1A7A43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A7B"/>
    <w:multiLevelType w:val="hybridMultilevel"/>
    <w:tmpl w:val="78365278"/>
    <w:lvl w:ilvl="0" w:tplc="52C6E9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1E1E1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0663E1"/>
    <w:multiLevelType w:val="hybridMultilevel"/>
    <w:tmpl w:val="F98C2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B40AE"/>
    <w:multiLevelType w:val="hybridMultilevel"/>
    <w:tmpl w:val="B9F68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7587C"/>
    <w:multiLevelType w:val="hybridMultilevel"/>
    <w:tmpl w:val="92DE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A5230"/>
    <w:multiLevelType w:val="hybridMultilevel"/>
    <w:tmpl w:val="7818B6FC"/>
    <w:lvl w:ilvl="0" w:tplc="68DC23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A83D35"/>
    <w:multiLevelType w:val="hybridMultilevel"/>
    <w:tmpl w:val="B4F24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20FFA"/>
    <w:multiLevelType w:val="hybridMultilevel"/>
    <w:tmpl w:val="77BC0AFC"/>
    <w:lvl w:ilvl="0" w:tplc="CA1AECF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88AA559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D04474D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A4F6E"/>
    <w:multiLevelType w:val="hybridMultilevel"/>
    <w:tmpl w:val="6D4EBC82"/>
    <w:lvl w:ilvl="0" w:tplc="DD2A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C0607"/>
    <w:multiLevelType w:val="hybridMultilevel"/>
    <w:tmpl w:val="7416D2B8"/>
    <w:lvl w:ilvl="0" w:tplc="74C05B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E6C99"/>
    <w:multiLevelType w:val="hybridMultilevel"/>
    <w:tmpl w:val="F1503228"/>
    <w:lvl w:ilvl="0" w:tplc="5C70A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006CE"/>
    <w:multiLevelType w:val="hybridMultilevel"/>
    <w:tmpl w:val="8D42A176"/>
    <w:lvl w:ilvl="0" w:tplc="A9465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561591"/>
    <w:multiLevelType w:val="hybridMultilevel"/>
    <w:tmpl w:val="03EE2F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CAB6EB5"/>
    <w:multiLevelType w:val="hybridMultilevel"/>
    <w:tmpl w:val="BC6E4F7A"/>
    <w:lvl w:ilvl="0" w:tplc="664A9A60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A371B"/>
    <w:multiLevelType w:val="hybridMultilevel"/>
    <w:tmpl w:val="497809D6"/>
    <w:lvl w:ilvl="0" w:tplc="B62C4D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0F5C9E"/>
    <w:multiLevelType w:val="hybridMultilevel"/>
    <w:tmpl w:val="D5B060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2"/>
  </w:num>
  <w:num w:numId="5">
    <w:abstractNumId w:val="11"/>
  </w:num>
  <w:num w:numId="6">
    <w:abstractNumId w:val="16"/>
  </w:num>
  <w:num w:numId="7">
    <w:abstractNumId w:val="7"/>
  </w:num>
  <w:num w:numId="8">
    <w:abstractNumId w:val="18"/>
  </w:num>
  <w:num w:numId="9">
    <w:abstractNumId w:val="5"/>
  </w:num>
  <w:num w:numId="10">
    <w:abstractNumId w:val="19"/>
  </w:num>
  <w:num w:numId="11">
    <w:abstractNumId w:val="14"/>
  </w:num>
  <w:num w:numId="12">
    <w:abstractNumId w:val="0"/>
  </w:num>
  <w:num w:numId="13">
    <w:abstractNumId w:val="10"/>
  </w:num>
  <w:num w:numId="14">
    <w:abstractNumId w:val="3"/>
  </w:num>
  <w:num w:numId="15">
    <w:abstractNumId w:val="8"/>
  </w:num>
  <w:num w:numId="16">
    <w:abstractNumId w:val="2"/>
  </w:num>
  <w:num w:numId="17">
    <w:abstractNumId w:val="15"/>
  </w:num>
  <w:num w:numId="18">
    <w:abstractNumId w:val="13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6D"/>
    <w:rsid w:val="0001479C"/>
    <w:rsid w:val="00044ADF"/>
    <w:rsid w:val="00067053"/>
    <w:rsid w:val="000A262A"/>
    <w:rsid w:val="00127E80"/>
    <w:rsid w:val="00141BF5"/>
    <w:rsid w:val="001B1DB0"/>
    <w:rsid w:val="001C35D7"/>
    <w:rsid w:val="002751DC"/>
    <w:rsid w:val="002A3824"/>
    <w:rsid w:val="002F48F0"/>
    <w:rsid w:val="00337997"/>
    <w:rsid w:val="00355458"/>
    <w:rsid w:val="003F5609"/>
    <w:rsid w:val="004039F1"/>
    <w:rsid w:val="00444327"/>
    <w:rsid w:val="00446E69"/>
    <w:rsid w:val="00495ABA"/>
    <w:rsid w:val="004A569E"/>
    <w:rsid w:val="005302BC"/>
    <w:rsid w:val="005644FB"/>
    <w:rsid w:val="005A4F40"/>
    <w:rsid w:val="005D2D65"/>
    <w:rsid w:val="00612096"/>
    <w:rsid w:val="00683D1A"/>
    <w:rsid w:val="00717984"/>
    <w:rsid w:val="00747E30"/>
    <w:rsid w:val="00773BAB"/>
    <w:rsid w:val="0077616D"/>
    <w:rsid w:val="00784F73"/>
    <w:rsid w:val="00810CD0"/>
    <w:rsid w:val="0087380D"/>
    <w:rsid w:val="00877C7D"/>
    <w:rsid w:val="009346B3"/>
    <w:rsid w:val="009D451A"/>
    <w:rsid w:val="009F0C9F"/>
    <w:rsid w:val="00A46B6B"/>
    <w:rsid w:val="00A55CE0"/>
    <w:rsid w:val="00A96D41"/>
    <w:rsid w:val="00AA66C6"/>
    <w:rsid w:val="00AC0376"/>
    <w:rsid w:val="00AD1ADD"/>
    <w:rsid w:val="00B0235B"/>
    <w:rsid w:val="00B4242C"/>
    <w:rsid w:val="00B715CB"/>
    <w:rsid w:val="00BA650E"/>
    <w:rsid w:val="00BB0C5D"/>
    <w:rsid w:val="00BB6529"/>
    <w:rsid w:val="00C02264"/>
    <w:rsid w:val="00C118BE"/>
    <w:rsid w:val="00C30F89"/>
    <w:rsid w:val="00CB0364"/>
    <w:rsid w:val="00CD4064"/>
    <w:rsid w:val="00D232A1"/>
    <w:rsid w:val="00D40F01"/>
    <w:rsid w:val="00D412C1"/>
    <w:rsid w:val="00D97116"/>
    <w:rsid w:val="00E958C7"/>
    <w:rsid w:val="00EE0475"/>
    <w:rsid w:val="00F35A70"/>
    <w:rsid w:val="00F66E9A"/>
    <w:rsid w:val="00FB3375"/>
    <w:rsid w:val="00FB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16D"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7616D"/>
    <w:pPr>
      <w:tabs>
        <w:tab w:val="num" w:pos="900"/>
      </w:tabs>
      <w:suppressAutoHyphens/>
      <w:spacing w:before="240" w:after="60" w:line="240" w:lineRule="auto"/>
      <w:ind w:left="900" w:hanging="3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77616D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Default">
    <w:name w:val="Default"/>
    <w:rsid w:val="0077616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7616D"/>
    <w:pPr>
      <w:widowControl w:val="0"/>
      <w:suppressAutoHyphens/>
      <w:spacing w:after="0" w:line="240" w:lineRule="auto"/>
      <w:ind w:left="720"/>
    </w:pPr>
    <w:rPr>
      <w:rFonts w:cs="Calibri"/>
      <w:kern w:val="2"/>
      <w:lang w:eastAsia="ar-SA"/>
    </w:rPr>
  </w:style>
  <w:style w:type="character" w:styleId="Hipercze">
    <w:name w:val="Hyperlink"/>
    <w:uiPriority w:val="99"/>
    <w:unhideWhenUsed/>
    <w:rsid w:val="0077616D"/>
    <w:rPr>
      <w:color w:val="0000FF"/>
      <w:u w:val="single"/>
    </w:rPr>
  </w:style>
  <w:style w:type="paragraph" w:styleId="Bezodstpw">
    <w:name w:val="No Spacing"/>
    <w:uiPriority w:val="1"/>
    <w:qFormat/>
    <w:rsid w:val="0077616D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77616D"/>
    <w:rPr>
      <w:b/>
      <w:bCs/>
    </w:rPr>
  </w:style>
  <w:style w:type="paragraph" w:styleId="Tekstpodstawowy">
    <w:name w:val="Body Text"/>
    <w:basedOn w:val="Normalny"/>
    <w:link w:val="TekstpodstawowyZnak"/>
    <w:rsid w:val="0077616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7616D"/>
    <w:rPr>
      <w:rFonts w:cs="Manga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7616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7761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semiHidden/>
    <w:rsid w:val="0077616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podobiektem">
    <w:name w:val="Podpis pod obiektem"/>
    <w:basedOn w:val="Normalny"/>
    <w:next w:val="Normalny"/>
    <w:rsid w:val="0077616D"/>
    <w:pPr>
      <w:suppressAutoHyphens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616D"/>
    <w:rPr>
      <w:rFonts w:ascii="Tahoma" w:eastAsia="Calibri" w:hAnsi="Tahoma" w:cs="Tahoma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2F4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888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Links>
    <vt:vector size="24" baseType="variant">
      <vt:variant>
        <vt:i4>7077904</vt:i4>
      </vt:variant>
      <vt:variant>
        <vt:i4>9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6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7077904</vt:i4>
      </vt:variant>
      <vt:variant>
        <vt:i4>3</vt:i4>
      </vt:variant>
      <vt:variant>
        <vt:i4>0</vt:i4>
      </vt:variant>
      <vt:variant>
        <vt:i4>5</vt:i4>
      </vt:variant>
      <vt:variant>
        <vt:lpwstr>mailto:iod@um.torun.pl</vt:lpwstr>
      </vt:variant>
      <vt:variant>
        <vt:lpwstr/>
      </vt:variant>
      <vt:variant>
        <vt:i4>3735569</vt:i4>
      </vt:variant>
      <vt:variant>
        <vt:i4>0</vt:i4>
      </vt:variant>
      <vt:variant>
        <vt:i4>0</vt:i4>
      </vt:variant>
      <vt:variant>
        <vt:i4>5</vt:i4>
      </vt:variant>
      <vt:variant>
        <vt:lpwstr>mailto:m.kaminska@um.torun.pl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23</cp:revision>
  <cp:lastPrinted>2023-10-16T09:15:00Z</cp:lastPrinted>
  <dcterms:created xsi:type="dcterms:W3CDTF">2022-10-19T13:14:00Z</dcterms:created>
  <dcterms:modified xsi:type="dcterms:W3CDTF">2024-10-10T06:40:00Z</dcterms:modified>
</cp:coreProperties>
</file>